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58" w:rsidRPr="0013583C" w:rsidRDefault="0013583C" w:rsidP="0013583C">
      <w:pPr>
        <w:jc w:val="center"/>
        <w:rPr>
          <w:rFonts w:ascii="Arial" w:hAnsi="Arial" w:cs="Arial"/>
          <w:b/>
          <w:sz w:val="24"/>
          <w:szCs w:val="24"/>
        </w:rPr>
      </w:pPr>
      <w:r w:rsidRPr="0013583C">
        <w:rPr>
          <w:rFonts w:ascii="Arial" w:hAnsi="Arial" w:cs="Arial"/>
          <w:b/>
          <w:sz w:val="24"/>
          <w:szCs w:val="24"/>
        </w:rPr>
        <w:t>CONVENIO DE COOPERACION ENTRE</w:t>
      </w:r>
    </w:p>
    <w:p w:rsidR="0013583C" w:rsidRPr="0013583C" w:rsidRDefault="0013583C" w:rsidP="0013583C">
      <w:pPr>
        <w:jc w:val="center"/>
        <w:rPr>
          <w:rFonts w:ascii="Arial" w:hAnsi="Arial" w:cs="Arial"/>
          <w:b/>
          <w:sz w:val="24"/>
          <w:szCs w:val="24"/>
        </w:rPr>
      </w:pPr>
      <w:r w:rsidRPr="0013583C">
        <w:rPr>
          <w:rFonts w:ascii="Arial" w:hAnsi="Arial" w:cs="Arial"/>
          <w:b/>
          <w:sz w:val="24"/>
          <w:szCs w:val="24"/>
        </w:rPr>
        <w:t>LA CORTE ELECTORA</w:t>
      </w:r>
    </w:p>
    <w:p w:rsidR="0013583C" w:rsidRPr="0013583C" w:rsidRDefault="0013583C" w:rsidP="0013583C">
      <w:pPr>
        <w:jc w:val="center"/>
        <w:rPr>
          <w:rFonts w:ascii="Arial" w:hAnsi="Arial" w:cs="Arial"/>
          <w:b/>
          <w:sz w:val="24"/>
          <w:szCs w:val="24"/>
        </w:rPr>
      </w:pPr>
      <w:r w:rsidRPr="0013583C">
        <w:rPr>
          <w:rFonts w:ascii="Arial" w:hAnsi="Arial" w:cs="Arial"/>
          <w:b/>
          <w:sz w:val="24"/>
          <w:szCs w:val="24"/>
        </w:rPr>
        <w:t>EL TRIBUNAL DE CUENTAS Y</w:t>
      </w:r>
    </w:p>
    <w:p w:rsidR="0013583C" w:rsidRPr="0013583C" w:rsidRDefault="0013583C" w:rsidP="0013583C">
      <w:pPr>
        <w:jc w:val="center"/>
        <w:rPr>
          <w:rFonts w:ascii="Arial" w:hAnsi="Arial" w:cs="Arial"/>
          <w:b/>
          <w:sz w:val="24"/>
          <w:szCs w:val="24"/>
        </w:rPr>
      </w:pPr>
      <w:r w:rsidRPr="0013583C">
        <w:rPr>
          <w:rFonts w:ascii="Arial" w:hAnsi="Arial" w:cs="Arial"/>
          <w:b/>
          <w:sz w:val="24"/>
          <w:szCs w:val="24"/>
        </w:rPr>
        <w:t>LA UNIDAD REGULADORA DE SERVICIOS DE COMUNICACIONES</w:t>
      </w:r>
    </w:p>
    <w:p w:rsidR="0013583C" w:rsidRPr="0013583C" w:rsidRDefault="0013583C" w:rsidP="00AD7199">
      <w:pPr>
        <w:jc w:val="both"/>
        <w:rPr>
          <w:rFonts w:ascii="Arial" w:hAnsi="Arial" w:cs="Arial"/>
          <w:b/>
          <w:sz w:val="24"/>
          <w:szCs w:val="24"/>
        </w:rPr>
      </w:pPr>
      <w:r w:rsidRPr="0013583C">
        <w:rPr>
          <w:rFonts w:ascii="Arial" w:hAnsi="Arial" w:cs="Arial"/>
          <w:b/>
          <w:sz w:val="24"/>
          <w:szCs w:val="24"/>
        </w:rPr>
        <w:t>El 3 de octubre de 2024 se realizó la firma del referido Convenio en la Sede de la Corte Electoral.</w:t>
      </w:r>
    </w:p>
    <w:p w:rsidR="0013583C" w:rsidRDefault="0013583C" w:rsidP="001358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 Convenio se enmarca en las disposiciones contenidas en la Ley N° 18485 (Ley de Partidos Políticos) y la Ley N° 20292, de acuerdo a las cuales la Corte Electora está facultada a solicitar apoyo al Tribunal de Cuentas a efectos de dar cumplimiento a lo dispuesto en los Art. 14 de la Ley 20292 (control de la publicidad electoral), 34 (rendición de cuentas de la campaña electoral) y 52Bis (presentación de estados contables por los partidos políticos) de la Ley 18485 con las modificaciones introducidas por la Ley N° 20292.</w:t>
      </w:r>
    </w:p>
    <w:p w:rsidR="0013583C" w:rsidRDefault="0013583C" w:rsidP="001358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específico del Convenio refiere al apoyo a brindar  por el Tribunal de Cuentas a la Corte Electoral, a los efectos del cumplimiento respecto a las Elecciones Nacionales y eventual </w:t>
      </w:r>
      <w:proofErr w:type="spellStart"/>
      <w:r>
        <w:rPr>
          <w:rFonts w:ascii="Arial" w:hAnsi="Arial" w:cs="Arial"/>
          <w:sz w:val="24"/>
          <w:szCs w:val="24"/>
        </w:rPr>
        <w:t>Balotage</w:t>
      </w:r>
      <w:proofErr w:type="spellEnd"/>
      <w:r>
        <w:rPr>
          <w:rFonts w:ascii="Arial" w:hAnsi="Arial" w:cs="Arial"/>
          <w:sz w:val="24"/>
          <w:szCs w:val="24"/>
        </w:rPr>
        <w:t xml:space="preserve"> de lo establecido en el art. 14 de la Ley N° 20292.</w:t>
      </w:r>
    </w:p>
    <w:p w:rsidR="0013583C" w:rsidRPr="0013583C" w:rsidRDefault="0013583C" w:rsidP="001358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otra parte la Unidad Reguladora de Servicios de Comunicaciones (URSEC) colaborará en la ejecución del Convenio, facilitando la información y apoyo requerido a los efectos de dar cumplimiento con el objetivo específico del mismo.</w:t>
      </w:r>
      <w:bookmarkStart w:id="0" w:name="_GoBack"/>
      <w:bookmarkEnd w:id="0"/>
    </w:p>
    <w:sectPr w:rsidR="0013583C" w:rsidRPr="00135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3C"/>
    <w:rsid w:val="0013583C"/>
    <w:rsid w:val="004D5058"/>
    <w:rsid w:val="00AD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Santinelli</dc:creator>
  <cp:lastModifiedBy>Robert Bregua</cp:lastModifiedBy>
  <cp:revision>2</cp:revision>
  <dcterms:created xsi:type="dcterms:W3CDTF">2024-12-11T19:00:00Z</dcterms:created>
  <dcterms:modified xsi:type="dcterms:W3CDTF">2024-12-12T21:29:00Z</dcterms:modified>
</cp:coreProperties>
</file>